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95" w:rsidRPr="00186098" w:rsidRDefault="00C15895" w:rsidP="00C15895">
      <w:pPr>
        <w:spacing w:after="0" w:line="240" w:lineRule="auto"/>
        <w:jc w:val="center"/>
        <w:rPr>
          <w:rFonts w:ascii="Courier New" w:eastAsia="Times New Roman" w:hAnsi="Courier New" w:cs="Courier New"/>
          <w:b/>
          <w:i/>
          <w:color w:val="000000"/>
          <w:sz w:val="17"/>
          <w:szCs w:val="17"/>
          <w:lang w:eastAsia="ru-RU"/>
        </w:rPr>
      </w:pPr>
      <w:r w:rsidRPr="00186098">
        <w:rPr>
          <w:rFonts w:ascii="Courier New" w:eastAsia="Times New Roman" w:hAnsi="Courier New" w:cs="Courier New"/>
          <w:b/>
          <w:i/>
          <w:color w:val="000000"/>
          <w:sz w:val="17"/>
          <w:szCs w:val="17"/>
          <w:lang w:eastAsia="ru-RU"/>
        </w:rPr>
        <w:t xml:space="preserve">                                                                              ПРОЕКТ </w:t>
      </w:r>
    </w:p>
    <w:p w:rsidR="00C15895" w:rsidRDefault="00C15895" w:rsidP="00C15895">
      <w:pPr>
        <w:spacing w:after="0" w:line="240" w:lineRule="auto"/>
        <w:jc w:val="center"/>
        <w:rPr>
          <w:rFonts w:ascii="Courier New" w:eastAsia="Times New Roman" w:hAnsi="Courier New" w:cs="Courier New"/>
          <w:b/>
          <w:color w:val="000000"/>
          <w:sz w:val="17"/>
          <w:szCs w:val="17"/>
          <w:lang w:eastAsia="ru-RU"/>
        </w:rPr>
      </w:pPr>
    </w:p>
    <w:p w:rsidR="00C15895" w:rsidRPr="00D43D91" w:rsidRDefault="00C15895" w:rsidP="00C15895">
      <w:pPr>
        <w:pStyle w:val="a3"/>
        <w:jc w:val="center"/>
        <w:rPr>
          <w:b/>
          <w:szCs w:val="24"/>
        </w:rPr>
      </w:pPr>
      <w:r w:rsidRPr="00D43D91">
        <w:rPr>
          <w:b/>
          <w:szCs w:val="17"/>
        </w:rPr>
        <w:t>Рекомендации орган</w:t>
      </w:r>
      <w:r w:rsidRPr="00D43D91">
        <w:rPr>
          <w:b/>
        </w:rPr>
        <w:t>ам</w:t>
      </w:r>
      <w:r w:rsidRPr="00D43D91">
        <w:rPr>
          <w:b/>
          <w:szCs w:val="17"/>
        </w:rPr>
        <w:t xml:space="preserve"> исполнительной власти Ростовской области, глав</w:t>
      </w:r>
      <w:r w:rsidRPr="00D43D91">
        <w:rPr>
          <w:b/>
        </w:rPr>
        <w:t>ам</w:t>
      </w:r>
      <w:r w:rsidRPr="00D43D91">
        <w:rPr>
          <w:b/>
          <w:szCs w:val="17"/>
        </w:rPr>
        <w:t xml:space="preserve"> администраций муниципальных образован</w:t>
      </w:r>
      <w:r w:rsidRPr="00D43D91">
        <w:rPr>
          <w:b/>
        </w:rPr>
        <w:t>ий Ростовской области, депутатам</w:t>
      </w:r>
      <w:r w:rsidRPr="00D43D91">
        <w:rPr>
          <w:b/>
          <w:szCs w:val="17"/>
        </w:rPr>
        <w:t xml:space="preserve"> всех уровней</w:t>
      </w:r>
    </w:p>
    <w:p w:rsidR="00C15895" w:rsidRPr="00D43D91" w:rsidRDefault="00C15895" w:rsidP="00C15895">
      <w:pPr>
        <w:pStyle w:val="a3"/>
        <w:jc w:val="center"/>
        <w:rPr>
          <w:b/>
          <w:szCs w:val="24"/>
        </w:rPr>
      </w:pPr>
      <w:r w:rsidRPr="00D43D91">
        <w:rPr>
          <w:b/>
          <w:szCs w:val="17"/>
        </w:rPr>
        <w:t>по результатам работы площадки</w:t>
      </w:r>
    </w:p>
    <w:p w:rsidR="00C15895" w:rsidRPr="00D43D91" w:rsidRDefault="00C15895" w:rsidP="00C15895">
      <w:pPr>
        <w:pStyle w:val="a3"/>
        <w:jc w:val="center"/>
        <w:rPr>
          <w:b/>
          <w:szCs w:val="24"/>
        </w:rPr>
      </w:pPr>
      <w:r w:rsidRPr="00D43D91">
        <w:rPr>
          <w:b/>
          <w:szCs w:val="17"/>
        </w:rPr>
        <w:t>образовательного форума молодых депутатов</w:t>
      </w:r>
    </w:p>
    <w:p w:rsidR="00C15895" w:rsidRDefault="00C15895" w:rsidP="00C15895">
      <w:pPr>
        <w:pStyle w:val="a3"/>
        <w:jc w:val="center"/>
        <w:rPr>
          <w:b/>
          <w:szCs w:val="17"/>
        </w:rPr>
      </w:pPr>
      <w:r w:rsidRPr="00D43D91">
        <w:rPr>
          <w:b/>
          <w:szCs w:val="17"/>
        </w:rPr>
        <w:t>Ростовской области</w:t>
      </w:r>
    </w:p>
    <w:p w:rsidR="00C15895" w:rsidRPr="00D43D91" w:rsidRDefault="00C15895" w:rsidP="00C15895">
      <w:pPr>
        <w:pStyle w:val="a3"/>
        <w:jc w:val="center"/>
        <w:rPr>
          <w:b/>
        </w:rPr>
      </w:pPr>
      <w:r>
        <w:rPr>
          <w:b/>
          <w:szCs w:val="17"/>
        </w:rPr>
        <w:t xml:space="preserve">(секция № 2) </w:t>
      </w:r>
    </w:p>
    <w:p w:rsidR="00C15895" w:rsidRPr="00D43D91" w:rsidRDefault="00C15895" w:rsidP="00C15895">
      <w:pPr>
        <w:pStyle w:val="a3"/>
        <w:rPr>
          <w:rFonts w:ascii="Times New Roman" w:hAnsi="Times New Roman"/>
          <w:b/>
          <w:sz w:val="24"/>
          <w:szCs w:val="24"/>
          <w:lang w:eastAsia="ru-RU"/>
        </w:rPr>
      </w:pPr>
      <w:r w:rsidRPr="00D43D91">
        <w:rPr>
          <w:rFonts w:ascii="Times New Roman" w:hAnsi="Times New Roman"/>
          <w:sz w:val="24"/>
          <w:szCs w:val="24"/>
          <w:lang w:eastAsia="ru-RU"/>
        </w:rPr>
        <w:br/>
      </w:r>
      <w:r w:rsidRPr="00D43D91">
        <w:rPr>
          <w:rFonts w:ascii="Times New Roman" w:hAnsi="Times New Roman"/>
          <w:sz w:val="24"/>
          <w:szCs w:val="24"/>
          <w:lang w:eastAsia="ru-RU"/>
        </w:rPr>
        <w:br/>
      </w:r>
      <w:r w:rsidRPr="00D43D91">
        <w:rPr>
          <w:lang w:eastAsia="ru-RU"/>
        </w:rPr>
        <w:t>1</w:t>
      </w:r>
      <w:r w:rsidRPr="00D43D91">
        <w:rPr>
          <w:b/>
          <w:lang w:eastAsia="ru-RU"/>
        </w:rPr>
        <w:t>. В связи с недостаточным уровнем обеспеченности инженерной инфраструктурой объектов, имеющих туристическую привлекательность:</w:t>
      </w:r>
    </w:p>
    <w:p w:rsidR="00C15895" w:rsidRDefault="00C15895" w:rsidP="00C15895">
      <w:pPr>
        <w:pStyle w:val="a3"/>
        <w:rPr>
          <w:lang w:eastAsia="ru-RU"/>
        </w:rPr>
      </w:pPr>
      <w:r w:rsidRPr="00D43D91">
        <w:rPr>
          <w:rFonts w:ascii="Times New Roman" w:hAnsi="Times New Roman"/>
          <w:sz w:val="24"/>
          <w:szCs w:val="24"/>
          <w:lang w:eastAsia="ru-RU"/>
        </w:rPr>
        <w:br/>
      </w:r>
      <w:r w:rsidRPr="00D43D91">
        <w:rPr>
          <w:lang w:eastAsia="ru-RU"/>
        </w:rPr>
        <w:t>- рассмотреть возможность инициирования разработки и принятия изменений и дополнений в региональную и муниципальные программы развития туризма, предусматривающие обеспечение объектами инженерной инфраструктуры (в том числе - дорогами с качественным дорожным покрытием) мест (объектов), имеющих туристическую привлекательность;</w:t>
      </w:r>
      <w:r w:rsidRPr="00D43D91">
        <w:rPr>
          <w:rFonts w:ascii="Times New Roman" w:hAnsi="Times New Roman"/>
          <w:sz w:val="24"/>
          <w:szCs w:val="24"/>
          <w:lang w:eastAsia="ru-RU"/>
        </w:rPr>
        <w:br/>
      </w:r>
      <w:r w:rsidRPr="00D43D91">
        <w:rPr>
          <w:rFonts w:ascii="Times New Roman" w:hAnsi="Times New Roman"/>
          <w:sz w:val="24"/>
          <w:szCs w:val="24"/>
          <w:lang w:eastAsia="ru-RU"/>
        </w:rPr>
        <w:br/>
      </w:r>
      <w:r w:rsidRPr="00D43D91">
        <w:rPr>
          <w:lang w:eastAsia="ru-RU"/>
        </w:rPr>
        <w:t>- для актуализации перечня объектов, имеющих туристскую привлекательность, проводить на регулярной основе консультации с хозяйствующими субъектами, заинтересованными в развитии въездного туризма на территории Ростовской области: владельцами средств размещения (гостиниц, домов отдыха, турбаз и т.п.), винодельческими предприятиями, музеями и т.п.</w:t>
      </w:r>
      <w:r w:rsidRPr="00D43D91">
        <w:rPr>
          <w:rFonts w:ascii="Times New Roman" w:hAnsi="Times New Roman"/>
          <w:sz w:val="24"/>
          <w:szCs w:val="24"/>
          <w:lang w:eastAsia="ru-RU"/>
        </w:rPr>
        <w:br/>
      </w:r>
      <w:r w:rsidRPr="00D43D91">
        <w:rPr>
          <w:rFonts w:ascii="Times New Roman" w:hAnsi="Times New Roman"/>
          <w:sz w:val="24"/>
          <w:szCs w:val="24"/>
          <w:lang w:eastAsia="ru-RU"/>
        </w:rPr>
        <w:br/>
      </w:r>
      <w:r w:rsidRPr="00D43D91">
        <w:rPr>
          <w:b/>
          <w:lang w:eastAsia="ru-RU"/>
        </w:rPr>
        <w:t>2. В связи с необходимостью поддержки социального предпринимательства при отсутствии определения социального предпринимательства в федеральных нормативных правовых актах:</w:t>
      </w:r>
      <w:r w:rsidRPr="00D43D91">
        <w:rPr>
          <w:rFonts w:ascii="Times New Roman" w:hAnsi="Times New Roman"/>
          <w:sz w:val="24"/>
          <w:szCs w:val="24"/>
          <w:lang w:eastAsia="ru-RU"/>
        </w:rPr>
        <w:br/>
      </w:r>
      <w:r w:rsidRPr="00D43D91">
        <w:rPr>
          <w:rFonts w:ascii="Times New Roman" w:hAnsi="Times New Roman"/>
          <w:sz w:val="24"/>
          <w:szCs w:val="24"/>
          <w:lang w:eastAsia="ru-RU"/>
        </w:rPr>
        <w:br/>
      </w:r>
      <w:r w:rsidRPr="00D43D91">
        <w:rPr>
          <w:lang w:eastAsia="ru-RU"/>
        </w:rPr>
        <w:t>- на региональном уровне и на уровне муниципальных образований - инициировать принятие нормативных правовых актов, определяющих виды предпринимательской деятельности, которые относятся к категории социального предпринимательства;</w:t>
      </w:r>
      <w:r w:rsidRPr="00D43D91">
        <w:rPr>
          <w:rFonts w:ascii="Times New Roman" w:hAnsi="Times New Roman"/>
          <w:sz w:val="24"/>
          <w:szCs w:val="24"/>
          <w:lang w:eastAsia="ru-RU"/>
        </w:rPr>
        <w:br/>
      </w:r>
      <w:r w:rsidRPr="00D43D91">
        <w:rPr>
          <w:rFonts w:ascii="Times New Roman" w:hAnsi="Times New Roman"/>
          <w:sz w:val="24"/>
          <w:szCs w:val="24"/>
          <w:lang w:eastAsia="ru-RU"/>
        </w:rPr>
        <w:br/>
      </w:r>
      <w:r w:rsidRPr="00D43D91">
        <w:rPr>
          <w:lang w:eastAsia="ru-RU"/>
        </w:rPr>
        <w:t xml:space="preserve">- рассмотреть возможность оказания содействия организациям, реализующим проекты в сфере социального предпринимательства, в ускорении прохождения установленной процедуры по пересмотру кадастровой стоимости земельных участков; </w:t>
      </w:r>
      <w:r w:rsidRPr="00D43D91">
        <w:rPr>
          <w:rFonts w:ascii="Times New Roman" w:hAnsi="Times New Roman"/>
          <w:sz w:val="24"/>
          <w:szCs w:val="24"/>
          <w:lang w:eastAsia="ru-RU"/>
        </w:rPr>
        <w:br/>
      </w:r>
      <w:r w:rsidRPr="00D43D91">
        <w:rPr>
          <w:rFonts w:ascii="Times New Roman" w:hAnsi="Times New Roman"/>
          <w:sz w:val="24"/>
          <w:szCs w:val="24"/>
          <w:lang w:eastAsia="ru-RU"/>
        </w:rPr>
        <w:br/>
      </w:r>
      <w:r w:rsidRPr="00D43D91">
        <w:rPr>
          <w:lang w:eastAsia="ru-RU"/>
        </w:rPr>
        <w:t>- рассмотреть возможность разработки типовой дорожной карты по инициированию органами местного самоуправления пересмотра кадастровой стоимости земельных участков, предоставляемых на конкурсной основе коммерческим организациям для осуществления видов деятельности, отнесенных к категории социального предпринимательства.</w:t>
      </w:r>
      <w:r w:rsidRPr="00D43D91">
        <w:rPr>
          <w:rFonts w:ascii="Times New Roman" w:hAnsi="Times New Roman"/>
          <w:sz w:val="24"/>
          <w:szCs w:val="24"/>
          <w:lang w:eastAsia="ru-RU"/>
        </w:rPr>
        <w:br/>
      </w:r>
      <w:r w:rsidRPr="00D43D91">
        <w:rPr>
          <w:rFonts w:ascii="Times New Roman" w:hAnsi="Times New Roman"/>
          <w:sz w:val="24"/>
          <w:szCs w:val="24"/>
          <w:lang w:eastAsia="ru-RU"/>
        </w:rPr>
        <w:br/>
      </w:r>
      <w:r w:rsidRPr="00D43D91">
        <w:rPr>
          <w:lang w:eastAsia="ru-RU"/>
        </w:rPr>
        <w:t>3</w:t>
      </w:r>
      <w:r w:rsidRPr="00D43D91">
        <w:rPr>
          <w:b/>
          <w:lang w:eastAsia="ru-RU"/>
        </w:rPr>
        <w:t>. В связи с необходимостью поддержки развития и сохранения предпринимательской деятельности в малых и средних населенных пунктах в условиях значительной миграции в областной центр:</w:t>
      </w:r>
      <w:r w:rsidRPr="00D43D91">
        <w:rPr>
          <w:rFonts w:ascii="Times New Roman" w:hAnsi="Times New Roman"/>
          <w:sz w:val="24"/>
          <w:szCs w:val="24"/>
          <w:lang w:eastAsia="ru-RU"/>
        </w:rPr>
        <w:br/>
      </w:r>
      <w:r w:rsidRPr="00D43D91">
        <w:rPr>
          <w:rFonts w:ascii="Times New Roman" w:hAnsi="Times New Roman"/>
          <w:sz w:val="24"/>
          <w:szCs w:val="24"/>
          <w:lang w:eastAsia="ru-RU"/>
        </w:rPr>
        <w:br/>
      </w:r>
      <w:r w:rsidRPr="00D43D91">
        <w:rPr>
          <w:lang w:eastAsia="ru-RU"/>
        </w:rPr>
        <w:t>- создать региональный проектный офис по созданию и сохранению предприятий малого и среднего бизнеса в малых и средних населенных пунктах региона;</w:t>
      </w:r>
    </w:p>
    <w:p w:rsidR="00C15895" w:rsidRPr="00D43D91" w:rsidRDefault="00C15895" w:rsidP="00C15895">
      <w:pPr>
        <w:pStyle w:val="a3"/>
        <w:rPr>
          <w:lang w:eastAsia="ru-RU"/>
        </w:rPr>
      </w:pPr>
      <w:r w:rsidRPr="00D43D91">
        <w:rPr>
          <w:rFonts w:ascii="Times New Roman" w:hAnsi="Times New Roman"/>
          <w:sz w:val="24"/>
          <w:szCs w:val="24"/>
          <w:lang w:eastAsia="ru-RU"/>
        </w:rPr>
        <w:br/>
      </w:r>
      <w:r w:rsidRPr="00D43D91">
        <w:rPr>
          <w:lang w:eastAsia="ru-RU"/>
        </w:rPr>
        <w:t>- привлечь к работе этого проектного офиса органы местного самоуправления городских округов, сельских и городских поселений.</w:t>
      </w:r>
      <w:r w:rsidRPr="00D43D91">
        <w:rPr>
          <w:rFonts w:ascii="Times New Roman" w:hAnsi="Times New Roman"/>
          <w:sz w:val="24"/>
          <w:szCs w:val="24"/>
          <w:lang w:eastAsia="ru-RU"/>
        </w:rPr>
        <w:br/>
      </w:r>
      <w:r w:rsidRPr="00D43D91">
        <w:rPr>
          <w:rFonts w:ascii="Times New Roman" w:hAnsi="Times New Roman"/>
          <w:sz w:val="24"/>
          <w:szCs w:val="24"/>
          <w:lang w:eastAsia="ru-RU"/>
        </w:rPr>
        <w:br/>
      </w:r>
      <w:r w:rsidRPr="00D43D91">
        <w:rPr>
          <w:b/>
          <w:lang w:eastAsia="ru-RU"/>
        </w:rPr>
        <w:t>4. В связи с ростом нелегального оборота алкоголя и энергетиков:</w:t>
      </w:r>
      <w:r w:rsidRPr="00D43D91">
        <w:rPr>
          <w:rFonts w:ascii="Times New Roman" w:hAnsi="Times New Roman"/>
          <w:sz w:val="24"/>
          <w:szCs w:val="24"/>
          <w:lang w:eastAsia="ru-RU"/>
        </w:rPr>
        <w:br/>
      </w:r>
      <w:r w:rsidRPr="00D43D91">
        <w:rPr>
          <w:rFonts w:ascii="Times New Roman" w:hAnsi="Times New Roman"/>
          <w:sz w:val="24"/>
          <w:szCs w:val="24"/>
          <w:lang w:eastAsia="ru-RU"/>
        </w:rPr>
        <w:br/>
      </w:r>
      <w:r w:rsidRPr="00D43D91">
        <w:rPr>
          <w:lang w:eastAsia="ru-RU"/>
        </w:rPr>
        <w:t>- оценить, насколько влияют на данный рост нелегального оборота последние изменения федерального законодательства в сфере регу</w:t>
      </w:r>
      <w:r>
        <w:rPr>
          <w:lang w:eastAsia="ru-RU"/>
        </w:rPr>
        <w:t>лирования алкогольной продукции;</w:t>
      </w:r>
      <w:r w:rsidRPr="00D43D91">
        <w:rPr>
          <w:lang w:eastAsia="ru-RU"/>
        </w:rPr>
        <w:t xml:space="preserve"> </w:t>
      </w:r>
      <w:r w:rsidRPr="00D43D91">
        <w:rPr>
          <w:rFonts w:ascii="Times New Roman" w:hAnsi="Times New Roman"/>
          <w:sz w:val="24"/>
          <w:szCs w:val="24"/>
          <w:lang w:eastAsia="ru-RU"/>
        </w:rPr>
        <w:br/>
      </w:r>
      <w:r w:rsidRPr="00D43D91">
        <w:rPr>
          <w:rFonts w:ascii="Times New Roman" w:hAnsi="Times New Roman"/>
          <w:sz w:val="24"/>
          <w:szCs w:val="24"/>
          <w:lang w:eastAsia="ru-RU"/>
        </w:rPr>
        <w:br/>
      </w:r>
      <w:r w:rsidRPr="00D43D91">
        <w:rPr>
          <w:lang w:eastAsia="ru-RU"/>
        </w:rPr>
        <w:lastRenderedPageBreak/>
        <w:t>- разработать и предложить для реализации комплекс мер по сокращению нелегального оборота алкоголя и энергетиков.</w:t>
      </w:r>
      <w:r w:rsidRPr="00D43D91">
        <w:rPr>
          <w:rFonts w:ascii="Times New Roman" w:hAnsi="Times New Roman"/>
          <w:sz w:val="24"/>
          <w:szCs w:val="24"/>
          <w:lang w:eastAsia="ru-RU"/>
        </w:rPr>
        <w:br/>
      </w:r>
      <w:r w:rsidRPr="00D43D91">
        <w:rPr>
          <w:rFonts w:ascii="Times New Roman" w:hAnsi="Times New Roman"/>
          <w:b/>
          <w:sz w:val="24"/>
          <w:szCs w:val="24"/>
          <w:lang w:eastAsia="ru-RU"/>
        </w:rPr>
        <w:br/>
      </w:r>
      <w:r w:rsidRPr="00D43D91">
        <w:rPr>
          <w:b/>
          <w:lang w:eastAsia="ru-RU"/>
        </w:rPr>
        <w:t>5. В связи с недоступностью части мер господдержки для субъектов предпринимательства, осуществляющих деятельность в удаленных от областного центра населенных пунктах,</w:t>
      </w:r>
      <w:r w:rsidRPr="00D43D91">
        <w:rPr>
          <w:lang w:eastAsia="ru-RU"/>
        </w:rPr>
        <w:t xml:space="preserve"> </w:t>
      </w:r>
      <w:r w:rsidRPr="00D43D91">
        <w:rPr>
          <w:rFonts w:ascii="Times New Roman" w:hAnsi="Times New Roman"/>
          <w:sz w:val="24"/>
          <w:szCs w:val="24"/>
          <w:lang w:eastAsia="ru-RU"/>
        </w:rPr>
        <w:br/>
      </w:r>
      <w:r w:rsidRPr="00D43D91">
        <w:rPr>
          <w:rFonts w:ascii="Times New Roman" w:hAnsi="Times New Roman"/>
          <w:sz w:val="24"/>
          <w:szCs w:val="24"/>
          <w:lang w:eastAsia="ru-RU"/>
        </w:rPr>
        <w:br/>
      </w:r>
      <w:r w:rsidRPr="00D43D91">
        <w:rPr>
          <w:lang w:eastAsia="ru-RU"/>
        </w:rPr>
        <w:t>- составлять рейтинг муниципальных городов и районов по уровню информированности субъектов предпринимательства о мерах господдержки, включив данный показатель в перечень критериев оценки деятельности органов местного самоуправления;</w:t>
      </w:r>
      <w:r w:rsidRPr="00D43D91">
        <w:rPr>
          <w:rFonts w:ascii="Times New Roman" w:hAnsi="Times New Roman"/>
          <w:sz w:val="24"/>
          <w:szCs w:val="24"/>
          <w:lang w:eastAsia="ru-RU"/>
        </w:rPr>
        <w:br/>
      </w:r>
      <w:r w:rsidRPr="00D43D91">
        <w:rPr>
          <w:rFonts w:ascii="Times New Roman" w:hAnsi="Times New Roman"/>
          <w:sz w:val="24"/>
          <w:szCs w:val="24"/>
          <w:lang w:eastAsia="ru-RU"/>
        </w:rPr>
        <w:br/>
      </w:r>
      <w:r w:rsidRPr="00D43D91">
        <w:rPr>
          <w:lang w:eastAsia="ru-RU"/>
        </w:rPr>
        <w:t>- рассмотреть возможность использования сети многофункциональных центров для информирования предпринимателей о мерах господдержки, для проведения опросов предпринимательского сообщества, в том числе - по вопросам доступности мер господдержки и муниципальной поддержки, качества оказания муниципальных услуг.</w:t>
      </w:r>
      <w:r w:rsidRPr="00D43D91">
        <w:rPr>
          <w:rFonts w:ascii="Times New Roman" w:hAnsi="Times New Roman"/>
          <w:sz w:val="24"/>
          <w:szCs w:val="24"/>
          <w:lang w:eastAsia="ru-RU"/>
        </w:rPr>
        <w:br/>
      </w:r>
      <w:r w:rsidRPr="00D43D91">
        <w:rPr>
          <w:rFonts w:ascii="Times New Roman" w:hAnsi="Times New Roman"/>
          <w:sz w:val="24"/>
          <w:szCs w:val="24"/>
          <w:lang w:eastAsia="ru-RU"/>
        </w:rPr>
        <w:br/>
      </w:r>
      <w:r w:rsidRPr="00D43D91">
        <w:rPr>
          <w:b/>
          <w:lang w:eastAsia="ru-RU"/>
        </w:rPr>
        <w:t>6. В связи с необходимостью увеличения сборов налоговых платежей, в том числе - в целях сокращения недоимки по платежам в местные бюджеты, в связи с отсутствием доступа к персональным данным налогоплательщиков - недоимщиков у органов местного самоуправления, имеющимися фактами отказа в приеме налоговых платежей в ряде почтовых отделений и в некоторых отделениях банков</w:t>
      </w:r>
      <w:r>
        <w:rPr>
          <w:b/>
          <w:lang w:eastAsia="ru-RU"/>
        </w:rPr>
        <w:t xml:space="preserve">, </w:t>
      </w:r>
      <w:r w:rsidRPr="00D43D91">
        <w:rPr>
          <w:rFonts w:ascii="Times New Roman" w:hAnsi="Times New Roman"/>
          <w:sz w:val="24"/>
          <w:szCs w:val="24"/>
          <w:lang w:eastAsia="ru-RU"/>
        </w:rPr>
        <w:br/>
      </w:r>
      <w:r w:rsidRPr="00D43D91">
        <w:rPr>
          <w:rFonts w:ascii="Times New Roman" w:hAnsi="Times New Roman"/>
          <w:sz w:val="24"/>
          <w:szCs w:val="24"/>
          <w:lang w:eastAsia="ru-RU"/>
        </w:rPr>
        <w:br/>
      </w:r>
      <w:r w:rsidRPr="00D43D91">
        <w:rPr>
          <w:lang w:eastAsia="ru-RU"/>
        </w:rPr>
        <w:t>- оказать содействие в координации усилий органов местного самоуправления, ФНС РФ, Почты России, банков для решения этой задачи.</w:t>
      </w:r>
      <w:r w:rsidRPr="00D43D91">
        <w:rPr>
          <w:rFonts w:ascii="Times New Roman" w:hAnsi="Times New Roman"/>
          <w:sz w:val="24"/>
          <w:szCs w:val="24"/>
          <w:lang w:eastAsia="ru-RU"/>
        </w:rPr>
        <w:br/>
      </w:r>
      <w:r w:rsidRPr="00D43D91">
        <w:rPr>
          <w:rFonts w:ascii="Times New Roman" w:hAnsi="Times New Roman"/>
          <w:b/>
          <w:sz w:val="24"/>
          <w:szCs w:val="24"/>
          <w:lang w:eastAsia="ru-RU"/>
        </w:rPr>
        <w:br/>
      </w:r>
      <w:r w:rsidRPr="00D43D91">
        <w:rPr>
          <w:b/>
          <w:lang w:eastAsia="ru-RU"/>
        </w:rPr>
        <w:t>7. В связи с ростом количества объектов жилой недвижимости, в которых длительное время не проживают граждане, в том числе - объектов жилой недвижимости, относящихся к категории выморочного имущества</w:t>
      </w:r>
      <w:r>
        <w:rPr>
          <w:b/>
          <w:lang w:eastAsia="ru-RU"/>
        </w:rPr>
        <w:t xml:space="preserve">, </w:t>
      </w:r>
      <w:r w:rsidRPr="00D43D91">
        <w:rPr>
          <w:rFonts w:ascii="Times New Roman" w:hAnsi="Times New Roman"/>
          <w:sz w:val="24"/>
          <w:szCs w:val="24"/>
          <w:lang w:eastAsia="ru-RU"/>
        </w:rPr>
        <w:br/>
      </w:r>
      <w:r w:rsidRPr="00D43D91">
        <w:rPr>
          <w:rFonts w:ascii="Times New Roman" w:hAnsi="Times New Roman"/>
          <w:sz w:val="24"/>
          <w:szCs w:val="24"/>
          <w:lang w:eastAsia="ru-RU"/>
        </w:rPr>
        <w:br/>
      </w:r>
      <w:r w:rsidRPr="00D43D91">
        <w:rPr>
          <w:lang w:eastAsia="ru-RU"/>
        </w:rPr>
        <w:t>- разработать и направить органам местного самоуправления рекомендации о порядке работы в целях обращения данного имущества в муниципальную собственностью, по обеспечению исключения данных объектов при расчете налоговых источников органов местного самоуправления, налогов на данные объекты - из суммы недоимки.</w:t>
      </w:r>
    </w:p>
    <w:p w:rsidR="00C15895" w:rsidRDefault="00C15895" w:rsidP="00C15895">
      <w:pPr>
        <w:pStyle w:val="a3"/>
        <w:rPr>
          <w:lang w:eastAsia="ru-RU"/>
        </w:rPr>
      </w:pPr>
      <w:r w:rsidRPr="00D43D91">
        <w:rPr>
          <w:rFonts w:ascii="Times New Roman" w:hAnsi="Times New Roman"/>
          <w:sz w:val="24"/>
          <w:szCs w:val="24"/>
          <w:lang w:eastAsia="ru-RU"/>
        </w:rPr>
        <w:br/>
      </w:r>
      <w:r w:rsidRPr="00D43D91">
        <w:rPr>
          <w:b/>
          <w:lang w:eastAsia="ru-RU"/>
        </w:rPr>
        <w:t>8. В связи с тем, что, по мнению участников Форума, увеличивается количество фактов поставки товаров, работ, услуг ненадлежащего качества поставщиками, подрядчиками для муниципальных, государственных нужд,</w:t>
      </w:r>
      <w:r w:rsidRPr="00D43D91">
        <w:rPr>
          <w:rFonts w:ascii="Times New Roman" w:hAnsi="Times New Roman"/>
          <w:b/>
          <w:sz w:val="24"/>
          <w:szCs w:val="24"/>
          <w:lang w:eastAsia="ru-RU"/>
        </w:rPr>
        <w:br/>
      </w:r>
      <w:r w:rsidRPr="00D43D91">
        <w:rPr>
          <w:rFonts w:ascii="Times New Roman" w:hAnsi="Times New Roman"/>
          <w:sz w:val="24"/>
          <w:szCs w:val="24"/>
          <w:lang w:eastAsia="ru-RU"/>
        </w:rPr>
        <w:br/>
      </w:r>
      <w:r w:rsidRPr="00D43D91">
        <w:rPr>
          <w:lang w:eastAsia="ru-RU"/>
        </w:rPr>
        <w:t>- рассмотреть возможность инициирования внесения изменений в законодательство для ужесточения ответственности таких поставщиков, подрядчиков, особенно - в случае заключения государственных и/или муниципальных контрактов по демпинговым ценам.</w:t>
      </w:r>
    </w:p>
    <w:p w:rsidR="00C15895" w:rsidRPr="00D43D91" w:rsidRDefault="00C15895" w:rsidP="00C15895">
      <w:pPr>
        <w:pStyle w:val="a3"/>
        <w:rPr>
          <w:rFonts w:ascii="Times New Roman" w:hAnsi="Times New Roman"/>
          <w:sz w:val="24"/>
          <w:szCs w:val="24"/>
          <w:lang w:eastAsia="ru-RU"/>
        </w:rPr>
      </w:pPr>
    </w:p>
    <w:p w:rsidR="00C15895" w:rsidRDefault="00C15895" w:rsidP="00C15895">
      <w:pPr>
        <w:pStyle w:val="a3"/>
        <w:rPr>
          <w:b/>
          <w:lang w:eastAsia="ru-RU"/>
        </w:rPr>
      </w:pPr>
      <w:r w:rsidRPr="00D43D91">
        <w:rPr>
          <w:b/>
          <w:lang w:eastAsia="ru-RU"/>
        </w:rPr>
        <w:t xml:space="preserve">9. В связи с необходимостью поддержки субъектов предпринимательства посредством содействия лояльности сотрудников к субъектам предпринимательства </w:t>
      </w:r>
      <w:r>
        <w:rPr>
          <w:b/>
          <w:lang w:eastAsia="ru-RU"/>
        </w:rPr>
        <w:t>–</w:t>
      </w:r>
      <w:r w:rsidRPr="00D43D91">
        <w:rPr>
          <w:b/>
          <w:lang w:eastAsia="ru-RU"/>
        </w:rPr>
        <w:t xml:space="preserve"> работодателям</w:t>
      </w:r>
    </w:p>
    <w:p w:rsidR="00C15895" w:rsidRPr="00D43D91" w:rsidRDefault="00C15895" w:rsidP="00C15895">
      <w:pPr>
        <w:pStyle w:val="a3"/>
        <w:rPr>
          <w:rFonts w:ascii="Times New Roman" w:hAnsi="Times New Roman"/>
          <w:b/>
          <w:sz w:val="24"/>
          <w:szCs w:val="24"/>
          <w:lang w:eastAsia="ru-RU"/>
        </w:rPr>
      </w:pPr>
    </w:p>
    <w:p w:rsidR="00C15895" w:rsidRDefault="00C15895" w:rsidP="00C15895">
      <w:pPr>
        <w:pStyle w:val="a3"/>
        <w:rPr>
          <w:lang w:eastAsia="ru-RU"/>
        </w:rPr>
      </w:pPr>
      <w:r w:rsidRPr="00D43D91">
        <w:rPr>
          <w:lang w:eastAsia="ru-RU"/>
        </w:rPr>
        <w:t>- рассмотреть возможность инициирования внесения изменений в нормативные правовые акты о государственной поддержке предпринимательства в части внедрения такой меры поддержки как обеспечение доступности ипотечных (жилищных) кредитов для сотрудников субъектов предпринимательства (предоставление поручительств специально созданных региональных гарантийных фондов при условии предоставления поручительств работодателей, субсидирование расходов заемщиков на оплату процентов по ипотечным (жилищным) кредитам.</w:t>
      </w:r>
    </w:p>
    <w:p w:rsidR="00C15895" w:rsidRDefault="00C15895" w:rsidP="00C15895">
      <w:pPr>
        <w:pStyle w:val="a3"/>
        <w:rPr>
          <w:lang w:eastAsia="ru-RU"/>
        </w:rPr>
      </w:pPr>
    </w:p>
    <w:p w:rsidR="00C15895" w:rsidRDefault="00C15895" w:rsidP="00C15895">
      <w:pPr>
        <w:pStyle w:val="a3"/>
        <w:rPr>
          <w:b/>
          <w:lang w:eastAsia="ru-RU"/>
        </w:rPr>
      </w:pPr>
      <w:r w:rsidRPr="00025490">
        <w:rPr>
          <w:b/>
          <w:lang w:eastAsia="ru-RU"/>
        </w:rPr>
        <w:lastRenderedPageBreak/>
        <w:t>10. В связи с необходимостью популяризации лучших практик деятельности депутатов представительных органов местного самоуправления, создания системы мотивации для выдвижения в качестве кандидатов в депутаты лучших представителей молодежи:</w:t>
      </w:r>
    </w:p>
    <w:p w:rsidR="00C15895" w:rsidRPr="00025490" w:rsidRDefault="00C15895" w:rsidP="00C15895">
      <w:pPr>
        <w:pStyle w:val="a3"/>
        <w:rPr>
          <w:b/>
          <w:lang w:eastAsia="ru-RU"/>
        </w:rPr>
      </w:pPr>
    </w:p>
    <w:p w:rsidR="00C15895" w:rsidRPr="00025490" w:rsidRDefault="00C15895" w:rsidP="00C15895">
      <w:pPr>
        <w:pStyle w:val="a3"/>
        <w:rPr>
          <w:lang w:eastAsia="ru-RU"/>
        </w:rPr>
      </w:pPr>
      <w:r w:rsidRPr="00025490">
        <w:rPr>
          <w:lang w:eastAsia="ru-RU"/>
        </w:rPr>
        <w:t>- рассмотреть возможность проведения на ежеквартальной основе регионального и муниципальных  конкурсов социальных отчетов депутатов;</w:t>
      </w:r>
    </w:p>
    <w:p w:rsidR="00C15895" w:rsidRPr="00025490" w:rsidRDefault="00C15895" w:rsidP="00C15895">
      <w:pPr>
        <w:pStyle w:val="a3"/>
        <w:rPr>
          <w:lang w:eastAsia="ru-RU"/>
        </w:rPr>
      </w:pPr>
      <w:r w:rsidRPr="00025490">
        <w:rPr>
          <w:lang w:eastAsia="ru-RU"/>
        </w:rPr>
        <w:t>- по результатам конкурсов  - предусмотреть выплату премий лучшим депутатам, а также - предоставление денежных средств из резервных фондов регионального и местных бюджетов на исполнение наказов избирателей депутатов - победителей конкурсов.</w:t>
      </w:r>
    </w:p>
    <w:p w:rsidR="00C15895" w:rsidRPr="00025490" w:rsidRDefault="00C15895" w:rsidP="00C15895">
      <w:pPr>
        <w:pStyle w:val="a3"/>
        <w:rPr>
          <w:lang w:eastAsia="ru-RU"/>
        </w:rPr>
      </w:pPr>
    </w:p>
    <w:p w:rsidR="00C15895" w:rsidRPr="00025490" w:rsidRDefault="00C15895" w:rsidP="00C15895">
      <w:pPr>
        <w:pStyle w:val="a3"/>
        <w:rPr>
          <w:b/>
          <w:lang w:eastAsia="ru-RU"/>
        </w:rPr>
      </w:pPr>
      <w:r w:rsidRPr="00025490">
        <w:rPr>
          <w:b/>
          <w:lang w:eastAsia="ru-RU"/>
        </w:rPr>
        <w:t>11.  Для обеспечения повышения уровня информированности молодых депутатов об актуальных для их избирателях региональных и муниципальных нормативных правовых актах, для предоставления депутатам возможности доведения  наказов избирателей до руководителей областных органов исполнительной власти, руководителей муниципальных районов и городских округов рассмотреть возможность проведения регулярных встреч молодых депутатов с вышеуказанными государственными и муниципальными служащими.</w:t>
      </w:r>
    </w:p>
    <w:p w:rsidR="00C15895" w:rsidRPr="00025490" w:rsidRDefault="00C15895" w:rsidP="00C15895">
      <w:pPr>
        <w:pStyle w:val="a3"/>
        <w:rPr>
          <w:lang w:eastAsia="ru-RU"/>
        </w:rPr>
      </w:pPr>
    </w:p>
    <w:p w:rsidR="00C15895" w:rsidRPr="00025490" w:rsidRDefault="00C15895" w:rsidP="00C15895">
      <w:pPr>
        <w:pStyle w:val="a3"/>
        <w:rPr>
          <w:b/>
          <w:lang w:eastAsia="ru-RU"/>
        </w:rPr>
      </w:pPr>
      <w:r w:rsidRPr="00025490">
        <w:rPr>
          <w:b/>
          <w:lang w:eastAsia="ru-RU"/>
        </w:rPr>
        <w:t>12. В связи с необходимостью роста экспорта и продажи за пределы региона товаров работ и услуг, производимых субъектами предпринимательства в Ростовской области, рассмотреть возможность создания или использования имеющейся интернет  - платформы для он-лайн торговли (см. опыт Краснодарского края, Aliexpress).</w:t>
      </w:r>
    </w:p>
    <w:p w:rsidR="00404DFC" w:rsidRDefault="00C15895"/>
    <w:sectPr w:rsidR="00404DFC" w:rsidSect="00B86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5895"/>
    <w:rsid w:val="000349A5"/>
    <w:rsid w:val="000E2C12"/>
    <w:rsid w:val="00142B04"/>
    <w:rsid w:val="002B1248"/>
    <w:rsid w:val="004F4AEF"/>
    <w:rsid w:val="005535CF"/>
    <w:rsid w:val="00665D6D"/>
    <w:rsid w:val="007772B7"/>
    <w:rsid w:val="008F45EF"/>
    <w:rsid w:val="00A2499C"/>
    <w:rsid w:val="00A81F33"/>
    <w:rsid w:val="00B81778"/>
    <w:rsid w:val="00B8633B"/>
    <w:rsid w:val="00C15895"/>
    <w:rsid w:val="00D7150C"/>
    <w:rsid w:val="00D71CB4"/>
    <w:rsid w:val="00E14E05"/>
    <w:rsid w:val="00F81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589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6093</Characters>
  <Application>Microsoft Office Word</Application>
  <DocSecurity>0</DocSecurity>
  <Lines>50</Lines>
  <Paragraphs>14</Paragraphs>
  <ScaleCrop>false</ScaleCrop>
  <Company>Microsoft</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ilina.e</dc:creator>
  <cp:lastModifiedBy>ilina.e</cp:lastModifiedBy>
  <cp:revision>1</cp:revision>
  <dcterms:created xsi:type="dcterms:W3CDTF">2016-04-06T05:14:00Z</dcterms:created>
  <dcterms:modified xsi:type="dcterms:W3CDTF">2016-04-06T05:15:00Z</dcterms:modified>
</cp:coreProperties>
</file>